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F6" w:rsidRPr="00BC03F6" w:rsidRDefault="00BC03F6" w:rsidP="00BC03F6">
      <w:pPr>
        <w:shd w:val="clear" w:color="auto" w:fill="FFFFFF"/>
        <w:spacing w:before="150" w:after="150" w:line="240" w:lineRule="auto"/>
        <w:jc w:val="left"/>
        <w:outlineLvl w:val="3"/>
        <w:rPr>
          <w:rFonts w:ascii="Arial" w:eastAsia="Times New Roman" w:hAnsi="Arial" w:cs="Arial"/>
          <w:color w:val="CE7A58"/>
          <w:sz w:val="27"/>
          <w:szCs w:val="27"/>
        </w:rPr>
      </w:pPr>
      <w:r w:rsidRPr="00BC03F6">
        <w:rPr>
          <w:rFonts w:ascii="Arial" w:eastAsia="Times New Roman" w:hAnsi="Arial" w:cs="Arial"/>
          <w:color w:val="CE7A58"/>
          <w:sz w:val="27"/>
          <w:szCs w:val="27"/>
        </w:rPr>
        <w:t>HƯỚNG DẪN NỘP HỒ SƠ TRỰC TUYẾN – CẤP HUYỆN</w:t>
      </w:r>
    </w:p>
    <w:p w:rsidR="003104B6" w:rsidRDefault="003104B6"/>
    <w:p w:rsidR="00BC03F6" w:rsidRDefault="00BC03F6" w:rsidP="00BC03F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E2F41"/>
          <w:sz w:val="20"/>
          <w:szCs w:val="20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Công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dân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/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tổ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chức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(CD/TC)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truy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cập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vào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đường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link http://dichvucong.bacgiang.gov.vn/. Sau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đó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, CD/TC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cần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đăng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trước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khi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trực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tuyến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(CD/TC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vui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lòng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xem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hướng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dẫn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tại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menu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hướng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dẫn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đăng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ký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,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đăng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0"/>
          <w:szCs w:val="20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0"/>
          <w:szCs w:val="20"/>
        </w:rPr>
        <w:t>)</w:t>
      </w:r>
    </w:p>
    <w:p w:rsidR="00BC03F6" w:rsidRPr="00BC03F6" w:rsidRDefault="00BC03F6" w:rsidP="00BC03F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E2F41"/>
          <w:sz w:val="20"/>
          <w:szCs w:val="20"/>
        </w:rPr>
      </w:pPr>
    </w:p>
    <w:p w:rsidR="00BC03F6" w:rsidRPr="00BC03F6" w:rsidRDefault="00BC03F6" w:rsidP="00BC03F6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 xml:space="preserve">Bước1: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>Chọn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 xml:space="preserve"> TTHC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>đăng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>ký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>nộp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>hồ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>sơ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>trực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  <w:u w:val="single"/>
        </w:rPr>
        <w:t>tuyến</w:t>
      </w:r>
      <w:proofErr w:type="spellEnd"/>
    </w:p>
    <w:p w:rsidR="00BC03F6" w:rsidRPr="00BC03F6" w:rsidRDefault="00BC03F6" w:rsidP="00BC03F6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*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Để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minh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họa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cho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việc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trực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tuyến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tại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cấp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Huyện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,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tài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liệu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sẽ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hướng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dẫnCD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/TC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cho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thủ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tục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“</w:t>
      </w:r>
      <w:proofErr w:type="spellStart"/>
      <w:r w:rsidRPr="00BC03F6">
        <w:rPr>
          <w:rFonts w:ascii="Arial" w:eastAsia="Times New Roman" w:hAnsi="Arial" w:cs="Arial"/>
          <w:b/>
          <w:bCs/>
          <w:i/>
          <w:iCs/>
          <w:color w:val="1E2F41"/>
          <w:sz w:val="21"/>
          <w:szCs w:val="21"/>
        </w:rPr>
        <w:t>Cấp</w:t>
      </w:r>
      <w:proofErr w:type="spellEnd"/>
      <w:r w:rsidRPr="00BC03F6">
        <w:rPr>
          <w:rFonts w:ascii="Arial" w:eastAsia="Times New Roman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i/>
          <w:iCs/>
          <w:color w:val="1E2F41"/>
          <w:sz w:val="21"/>
          <w:szCs w:val="21"/>
        </w:rPr>
        <w:t>giấy</w:t>
      </w:r>
      <w:proofErr w:type="spellEnd"/>
      <w:r w:rsidRPr="00BC03F6">
        <w:rPr>
          <w:rFonts w:ascii="Arial" w:eastAsia="Times New Roman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i/>
          <w:iCs/>
          <w:color w:val="1E2F41"/>
          <w:sz w:val="21"/>
          <w:szCs w:val="21"/>
        </w:rPr>
        <w:t>phép</w:t>
      </w:r>
      <w:proofErr w:type="spellEnd"/>
      <w:r w:rsidRPr="00BC03F6">
        <w:rPr>
          <w:rFonts w:ascii="Arial" w:eastAsia="Times New Roman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i/>
          <w:iCs/>
          <w:color w:val="1E2F41"/>
          <w:sz w:val="21"/>
          <w:szCs w:val="21"/>
        </w:rPr>
        <w:t>bán</w:t>
      </w:r>
      <w:proofErr w:type="spellEnd"/>
      <w:r w:rsidRPr="00BC03F6">
        <w:rPr>
          <w:rFonts w:ascii="Arial" w:eastAsia="Times New Roman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i/>
          <w:iCs/>
          <w:color w:val="1E2F41"/>
          <w:sz w:val="21"/>
          <w:szCs w:val="21"/>
        </w:rPr>
        <w:t>lẻ</w:t>
      </w:r>
      <w:proofErr w:type="spellEnd"/>
      <w:r w:rsidRPr="00BC03F6">
        <w:rPr>
          <w:rFonts w:ascii="Arial" w:eastAsia="Times New Roman" w:hAnsi="Arial" w:cs="Arial"/>
          <w:b/>
          <w:bCs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i/>
          <w:iCs/>
          <w:color w:val="1E2F41"/>
          <w:sz w:val="21"/>
          <w:szCs w:val="21"/>
        </w:rPr>
        <w:t>rượu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”.</w:t>
      </w:r>
    </w:p>
    <w:p w:rsidR="00BC03F6" w:rsidRPr="00BC03F6" w:rsidRDefault="00BC03F6" w:rsidP="00BC03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- </w:t>
      </w:r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Cách1:</w:t>
      </w:r>
      <w:r w:rsidRPr="00BC03F6">
        <w:rPr>
          <w:rFonts w:ascii="Arial" w:eastAsia="Times New Roman" w:hAnsi="Arial" w:cs="Arial"/>
          <w:color w:val="1E2F41"/>
          <w:sz w:val="21"/>
          <w:szCs w:val="21"/>
        </w:rPr>
        <w:t> 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Đăng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ký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TTHC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từ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menu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Dịch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vụ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trực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tuyến</w:t>
      </w:r>
      <w:proofErr w:type="spellEnd"/>
    </w:p>
    <w:p w:rsidR="00BC03F6" w:rsidRPr="00BC03F6" w:rsidRDefault="00BC03F6" w:rsidP="00BC0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chọn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menu “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Dịch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vụ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công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trực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tuyến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”</w:t>
      </w:r>
    </w:p>
    <w:p w:rsidR="00BC03F6" w:rsidRPr="00BC03F6" w:rsidRDefault="00BC03F6" w:rsidP="00BC0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tên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TTHC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vào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ô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từ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khóa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nhấn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nút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“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Tra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cứu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”</w:t>
      </w:r>
    </w:p>
    <w:p w:rsidR="00BC03F6" w:rsidRPr="00BC03F6" w:rsidRDefault="00BC03F6" w:rsidP="00BC0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nhấn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vào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tên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TTHC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hoặc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click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nút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“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Đăng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ký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”.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Hệ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chuyển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sang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màn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hình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chi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tiết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TTHC</w:t>
      </w:r>
    </w:p>
    <w:p w:rsidR="00BC03F6" w:rsidRPr="00BC03F6" w:rsidRDefault="00BC03F6" w:rsidP="00BC03F6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color w:val="1E2F41"/>
          <w:sz w:val="21"/>
          <w:szCs w:val="21"/>
        </w:rPr>
        <w:t>-  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Cách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gram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2:</w:t>
      </w:r>
      <w:r w:rsidRPr="00BC03F6">
        <w:rPr>
          <w:rFonts w:ascii="Arial" w:eastAsia="Times New Roman" w:hAnsi="Arial" w:cs="Arial"/>
          <w:color w:val="1E2F41"/>
          <w:sz w:val="21"/>
          <w:szCs w:val="21"/>
        </w:rPr>
        <w:t>Đăng</w:t>
      </w:r>
      <w:proofErr w:type="gram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ký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TTHC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từ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menu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tục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hành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chính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(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chọn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TTHC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cấp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độ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3, 4)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click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vàotên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TTHC.</w:t>
      </w:r>
    </w:p>
    <w:p w:rsidR="00BC03F6" w:rsidRPr="00BC03F6" w:rsidRDefault="00BC03F6" w:rsidP="00BC0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chọn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menu “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Thủ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tục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hành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chính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”</w:t>
      </w:r>
    </w:p>
    <w:p w:rsidR="00BC03F6" w:rsidRPr="00BC03F6" w:rsidRDefault="00BC03F6" w:rsidP="00BC0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tên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TTHC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vào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ô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từ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khóa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nhấn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nút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“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Tra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cứu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”</w:t>
      </w:r>
    </w:p>
    <w:p w:rsidR="00BC03F6" w:rsidRPr="00BC03F6" w:rsidRDefault="00BC03F6" w:rsidP="00BC0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nhấn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vào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tên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TTHC.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Hệ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chuyển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sang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màn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hình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 tin chi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tiết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TTHC</w:t>
      </w:r>
    </w:p>
    <w:p w:rsidR="00BC03F6" w:rsidRDefault="00BC03F6" w:rsidP="00BC03F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Bước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2: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Xem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thông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tin chi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tiết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TTHC</w:t>
      </w:r>
    </w:p>
    <w:p w:rsidR="00BC03F6" w:rsidRDefault="00BC03F6" w:rsidP="00BC03F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r>
        <w:rPr>
          <w:rFonts w:ascii="Arial" w:hAnsi="Arial" w:cs="Arial"/>
          <w:color w:val="1E2F41"/>
          <w:sz w:val="21"/>
          <w:szCs w:val="21"/>
        </w:rPr>
        <w:t xml:space="preserve">Sau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khi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thực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hiện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bước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1,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có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thể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xem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thông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tin chi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tiết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TTHC.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Dưới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đây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là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xem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thông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tin chi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tiết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một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TTHC.</w:t>
      </w:r>
    </w:p>
    <w:p w:rsidR="00BC03F6" w:rsidRDefault="00BC03F6" w:rsidP="00BC03F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Bước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3: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Nộp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hồ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sơ</w:t>
      </w:r>
      <w:proofErr w:type="spellEnd"/>
    </w:p>
    <w:p w:rsidR="00BC03F6" w:rsidRDefault="00BC03F6" w:rsidP="00BC03F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proofErr w:type="spellStart"/>
      <w:r>
        <w:rPr>
          <w:rFonts w:ascii="Arial" w:hAnsi="Arial" w:cs="Arial"/>
          <w:color w:val="1E2F41"/>
          <w:sz w:val="21"/>
          <w:szCs w:val="21"/>
        </w:rPr>
        <w:t>Tại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thông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tin chi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tiết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TTHC, CD/TC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chọn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nút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Nộp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hồ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sơ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trực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</w:rPr>
        <w:t>tuyến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”.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Hệ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sang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màn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hình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nhập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thông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nộp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hồ</w:t>
      </w:r>
      <w:proofErr w:type="spellEnd"/>
      <w:r>
        <w:rPr>
          <w:rFonts w:ascii="Arial" w:hAnsi="Arial" w:cs="Arial"/>
          <w:color w:val="1E2F4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E2F41"/>
          <w:sz w:val="21"/>
          <w:szCs w:val="21"/>
        </w:rPr>
        <w:t>sơ</w:t>
      </w:r>
      <w:proofErr w:type="spellEnd"/>
      <w:r>
        <w:rPr>
          <w:rFonts w:ascii="Arial" w:hAnsi="Arial" w:cs="Arial"/>
          <w:color w:val="1E2F41"/>
          <w:sz w:val="21"/>
          <w:szCs w:val="21"/>
        </w:rPr>
        <w:t>.</w:t>
      </w:r>
    </w:p>
    <w:p w:rsidR="00BC03F6" w:rsidRDefault="00BC03F6" w:rsidP="00BC03F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2F41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Bước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4: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Nhập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thông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tin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người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nộp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hồ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sơ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chủ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hồ</w:t>
      </w:r>
      <w:proofErr w:type="spellEnd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1E2F41"/>
          <w:sz w:val="21"/>
          <w:szCs w:val="21"/>
          <w:u w:val="single"/>
        </w:rPr>
        <w:t>sơ</w:t>
      </w:r>
      <w:proofErr w:type="spellEnd"/>
    </w:p>
    <w:p w:rsidR="00BC03F6" w:rsidRPr="00BC03F6" w:rsidRDefault="00BC03F6" w:rsidP="00BC03F6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/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chọn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các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tin,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gồm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:</w:t>
      </w:r>
    </w:p>
    <w:p w:rsidR="00BC03F6" w:rsidRPr="00BC03F6" w:rsidRDefault="00BC03F6" w:rsidP="00BC03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cơ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quan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tiếp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nhận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:</w:t>
      </w:r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 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chọn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quan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tiếp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(UBND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cấp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Huyện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/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Thànhphố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)</w:t>
      </w:r>
    </w:p>
    <w:p w:rsidR="00BC03F6" w:rsidRPr="00BC03F6" w:rsidRDefault="00BC03F6" w:rsidP="00BC03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sơ</w:t>
      </w:r>
      <w:proofErr w:type="spellEnd"/>
    </w:p>
    <w:p w:rsidR="00BC03F6" w:rsidRPr="00BC03F6" w:rsidRDefault="00BC03F6" w:rsidP="00BC03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Họ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tên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hệ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tự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điền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từ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tài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khoản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đăng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</w:p>
    <w:p w:rsidR="00BC03F6" w:rsidRPr="00BC03F6" w:rsidRDefault="00BC03F6" w:rsidP="00BC03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Số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điện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thoại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hệ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tự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động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điền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từ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tài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khoản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đăng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</w:p>
    <w:p w:rsidR="00BC03F6" w:rsidRPr="00BC03F6" w:rsidRDefault="00BC03F6" w:rsidP="00BC03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Địa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chỉ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địa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chỉ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của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</w:p>
    <w:p w:rsidR="00BC03F6" w:rsidRPr="00BC03F6" w:rsidRDefault="00BC03F6" w:rsidP="00BC03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Số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CMND/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Hộ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chiếu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số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CMND/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Hộchiếu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của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đăng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ký</w:t>
      </w:r>
      <w:proofErr w:type="spellEnd"/>
    </w:p>
    <w:p w:rsidR="00BC03F6" w:rsidRPr="00BC03F6" w:rsidRDefault="00BC03F6" w:rsidP="00BC03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Email: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địa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chỉ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email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của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</w:p>
    <w:p w:rsidR="00BC03F6" w:rsidRPr="00BC03F6" w:rsidRDefault="00BC03F6" w:rsidP="00BC03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giống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nhau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tích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chọn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nếu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giống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nhau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.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Khi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đó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,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sẽ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tự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được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điền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vào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.</w:t>
      </w:r>
    </w:p>
    <w:p w:rsidR="00BC03F6" w:rsidRPr="00BC03F6" w:rsidRDefault="00BC03F6" w:rsidP="00BC03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hồsơ</w:t>
      </w:r>
      <w:proofErr w:type="spellEnd"/>
    </w:p>
    <w:p w:rsidR="00BC03F6" w:rsidRPr="00BC03F6" w:rsidRDefault="00BC03F6" w:rsidP="00BC03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Họ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tên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họ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tên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,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hoặc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hệ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tự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điền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nếu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chọn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“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giống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nhau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”</w:t>
      </w:r>
    </w:p>
    <w:p w:rsidR="00BC03F6" w:rsidRPr="00BC03F6" w:rsidRDefault="00BC03F6" w:rsidP="00BC03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Số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điện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thoại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số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điện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thoại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,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hoặc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hệ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tự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điền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nếu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chọn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“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giống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nhau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”</w:t>
      </w:r>
    </w:p>
    <w:p w:rsidR="00BC03F6" w:rsidRPr="00BC03F6" w:rsidRDefault="00BC03F6" w:rsidP="00BC03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lastRenderedPageBreak/>
        <w:t>Địa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chỉ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địa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chỉ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proofErr w:type="gram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sơ,hoặc</w:t>
      </w:r>
      <w:proofErr w:type="spellEnd"/>
      <w:proofErr w:type="gram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hệ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tự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điền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nếu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chọn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“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giống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nhau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”</w:t>
      </w:r>
    </w:p>
    <w:p w:rsidR="00BC03F6" w:rsidRPr="00BC03F6" w:rsidRDefault="00BC03F6" w:rsidP="00BC03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Số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CMT/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Hộ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chiếu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số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CMT/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Hộ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chiếu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của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,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hoặc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hệ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tự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điền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nếu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chọn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“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giống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nhau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”</w:t>
      </w:r>
    </w:p>
    <w:p w:rsidR="00BC03F6" w:rsidRPr="00BC03F6" w:rsidRDefault="00BC03F6" w:rsidP="00BC03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Email: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email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của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proofErr w:type="gram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sơ,hoặc</w:t>
      </w:r>
      <w:proofErr w:type="spellEnd"/>
      <w:proofErr w:type="gram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hệ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tự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điền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nếu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chọn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“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người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nộp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và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chủ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giống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nhau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”</w:t>
      </w:r>
    </w:p>
    <w:p w:rsidR="00BC03F6" w:rsidRPr="00BC03F6" w:rsidRDefault="00BC03F6" w:rsidP="00BC03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Mô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tả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: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mô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tả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(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không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bắt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buộc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)</w:t>
      </w:r>
    </w:p>
    <w:p w:rsidR="00BC03F6" w:rsidRPr="00BC03F6" w:rsidRDefault="00BC03F6" w:rsidP="00BC03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CD/TC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nhấnnút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 </w:t>
      </w:r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“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Tiếptục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”</w:t>
      </w:r>
      <w:r w:rsidRPr="00BC03F6">
        <w:rPr>
          <w:rFonts w:ascii="Arial" w:eastAsia="Times New Roman" w:hAnsi="Arial" w:cs="Arial"/>
          <w:color w:val="1E2F41"/>
          <w:sz w:val="21"/>
          <w:szCs w:val="21"/>
        </w:rPr>
        <w:t> 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để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chuyển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sang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bước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tiếp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theo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,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hoặc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nút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“</w:t>
      </w:r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Quay </w:t>
      </w: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lại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”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để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trở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về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màn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hình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trước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color w:val="1E2F41"/>
          <w:sz w:val="21"/>
          <w:szCs w:val="21"/>
        </w:rPr>
        <w:t>đó</w:t>
      </w:r>
      <w:proofErr w:type="spellEnd"/>
      <w:r w:rsidRPr="00BC03F6">
        <w:rPr>
          <w:rFonts w:ascii="Arial" w:eastAsia="Times New Roman" w:hAnsi="Arial" w:cs="Arial"/>
          <w:color w:val="1E2F41"/>
          <w:sz w:val="21"/>
          <w:szCs w:val="21"/>
        </w:rPr>
        <w:t>.</w:t>
      </w:r>
    </w:p>
    <w:p w:rsidR="00BC03F6" w:rsidRPr="00BC03F6" w:rsidRDefault="00BC03F6" w:rsidP="00BC03F6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>Lưu</w:t>
      </w:r>
      <w:proofErr w:type="spellEnd"/>
      <w:r w:rsidRPr="00BC03F6">
        <w:rPr>
          <w:rFonts w:ascii="Arial" w:eastAsia="Times New Roman" w:hAnsi="Arial" w:cs="Arial"/>
          <w:b/>
          <w:bCs/>
          <w:color w:val="1E2F41"/>
          <w:sz w:val="21"/>
          <w:szCs w:val="21"/>
        </w:rPr>
        <w:t xml:space="preserve"> ý:</w:t>
      </w:r>
    </w:p>
    <w:p w:rsidR="00BC03F6" w:rsidRPr="00BC03F6" w:rsidRDefault="00BC03F6" w:rsidP="00BC03F6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Các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đánh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dấu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“*”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là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các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tin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bắt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buộc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.</w:t>
      </w:r>
    </w:p>
    <w:p w:rsidR="00BC03F6" w:rsidRPr="00BC03F6" w:rsidRDefault="00BC03F6" w:rsidP="00BC03F6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CD/TC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cần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nhập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đúng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số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điện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proofErr w:type="gram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thoại,email</w:t>
      </w:r>
      <w:proofErr w:type="spellEnd"/>
      <w:proofErr w:type="gram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để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nhận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thông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báo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về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tình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trạng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giải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quyết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hồ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sơ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qua email, tin </w:t>
      </w:r>
      <w:proofErr w:type="spellStart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>nhắn</w:t>
      </w:r>
      <w:proofErr w:type="spellEnd"/>
      <w:r w:rsidRPr="00BC03F6">
        <w:rPr>
          <w:rFonts w:ascii="Arial" w:eastAsia="Times New Roman" w:hAnsi="Arial" w:cs="Arial"/>
          <w:i/>
          <w:iCs/>
          <w:color w:val="1E2F41"/>
          <w:sz w:val="21"/>
          <w:szCs w:val="21"/>
        </w:rPr>
        <w:t xml:space="preserve"> SMS.</w:t>
      </w:r>
    </w:p>
    <w:p w:rsidR="00BC03F6" w:rsidRPr="00BC03F6" w:rsidRDefault="00BC03F6" w:rsidP="00BC03F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E2F41"/>
          <w:sz w:val="21"/>
          <w:szCs w:val="21"/>
        </w:rPr>
      </w:pPr>
      <w:bookmarkStart w:id="0" w:name="_GoBack"/>
      <w:bookmarkEnd w:id="0"/>
    </w:p>
    <w:sectPr w:rsidR="00BC03F6" w:rsidRPr="00BC03F6" w:rsidSect="00B91C6D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A81"/>
    <w:multiLevelType w:val="multilevel"/>
    <w:tmpl w:val="174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57508"/>
    <w:multiLevelType w:val="multilevel"/>
    <w:tmpl w:val="0AE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E6512"/>
    <w:multiLevelType w:val="multilevel"/>
    <w:tmpl w:val="5BD8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34A6D"/>
    <w:multiLevelType w:val="multilevel"/>
    <w:tmpl w:val="FBEC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750C6"/>
    <w:multiLevelType w:val="multilevel"/>
    <w:tmpl w:val="F5F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A36D3"/>
    <w:multiLevelType w:val="multilevel"/>
    <w:tmpl w:val="E39E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F2234"/>
    <w:multiLevelType w:val="multilevel"/>
    <w:tmpl w:val="D33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F6"/>
    <w:rsid w:val="003104B6"/>
    <w:rsid w:val="00B91C6D"/>
    <w:rsid w:val="00B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3882"/>
  <w15:chartTrackingRefBased/>
  <w15:docId w15:val="{8E08B4CD-7620-436D-B7E3-9E43B133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6D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C6D"/>
    <w:pPr>
      <w:keepNext/>
      <w:keepLines/>
      <w:spacing w:before="36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C6D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1C6D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91C6D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6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C6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C6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BC03F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2024-03-15T01:18:00Z</dcterms:created>
  <dcterms:modified xsi:type="dcterms:W3CDTF">2024-03-15T01:25:00Z</dcterms:modified>
</cp:coreProperties>
</file>